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0D" w:rsidRPr="00DD750D" w:rsidRDefault="00DD750D" w:rsidP="00DD750D">
      <w:pPr>
        <w:shd w:val="clear" w:color="auto" w:fill="6B7921"/>
        <w:spacing w:before="100" w:beforeAutospacing="1" w:after="100" w:afterAutospacing="1" w:line="240" w:lineRule="auto"/>
        <w:rPr>
          <w:rFonts w:ascii="Verdana" w:eastAsia="Times New Roman" w:hAnsi="Verdana" w:cs="Times New Roman"/>
          <w:b/>
          <w:bCs/>
          <w:color w:val="000000"/>
          <w:sz w:val="32"/>
          <w:szCs w:val="32"/>
          <w:lang w:eastAsia="fr-FR"/>
        </w:rPr>
      </w:pPr>
      <w:r w:rsidRPr="00DD750D">
        <w:rPr>
          <w:rFonts w:ascii="Verdana" w:eastAsia="Times New Roman" w:hAnsi="Verdana" w:cs="Times New Roman"/>
          <w:b/>
          <w:bCs/>
          <w:color w:val="000000"/>
          <w:sz w:val="32"/>
          <w:szCs w:val="32"/>
          <w:lang w:eastAsia="fr-FR"/>
        </w:rPr>
        <w:t>La cellule</w:t>
      </w:r>
      <w:bookmarkStart w:id="0" w:name="enhaut"/>
      <w:bookmarkEnd w:id="0"/>
    </w:p>
    <w:p w:rsidR="00DD750D" w:rsidRPr="00DD750D" w:rsidRDefault="00DD750D" w:rsidP="00DD750D">
      <w:pPr>
        <w:shd w:val="clear" w:color="auto" w:fill="6B7921"/>
        <w:spacing w:before="100" w:beforeAutospacing="1" w:after="100" w:afterAutospacing="1" w:line="240" w:lineRule="auto"/>
        <w:rPr>
          <w:rFonts w:ascii="Verdana" w:eastAsia="Times New Roman" w:hAnsi="Verdana" w:cs="Times New Roman"/>
          <w:color w:val="000000"/>
          <w:lang w:eastAsia="fr-FR"/>
        </w:rPr>
      </w:pPr>
      <w:r w:rsidRPr="00DD750D">
        <w:rPr>
          <w:rFonts w:ascii="Verdana" w:eastAsia="Times New Roman" w:hAnsi="Verdana" w:cs="Times New Roman"/>
          <w:color w:val="000000"/>
          <w:sz w:val="27"/>
          <w:szCs w:val="27"/>
          <w:lang w:eastAsia="fr-FR"/>
        </w:rPr>
        <w:t>La cellule unité fondamentale de la vie</w:t>
      </w:r>
    </w:p>
    <w:p w:rsidR="00DD750D" w:rsidRPr="00DD750D" w:rsidRDefault="00DD750D" w:rsidP="00DD750D">
      <w:pPr>
        <w:shd w:val="clear" w:color="auto" w:fill="6B7921"/>
        <w:spacing w:before="100" w:beforeAutospacing="1" w:after="100" w:afterAutospacing="1" w:line="240" w:lineRule="auto"/>
        <w:rPr>
          <w:rFonts w:ascii="Verdana" w:eastAsia="Times New Roman" w:hAnsi="Verdana" w:cs="Times New Roman"/>
          <w:color w:val="000000"/>
          <w:lang w:eastAsia="fr-FR"/>
        </w:rPr>
      </w:pPr>
      <w:r w:rsidRPr="00DD750D">
        <w:rPr>
          <w:rFonts w:ascii="Verdana" w:eastAsia="Times New Roman" w:hAnsi="Verdana" w:cs="Times New Roman"/>
          <w:color w:val="000000"/>
          <w:lang w:eastAsia="fr-FR"/>
        </w:rPr>
        <w:t>La cellule est l'</w:t>
      </w:r>
      <w:r w:rsidRPr="00DD750D">
        <w:rPr>
          <w:rFonts w:ascii="Verdana" w:eastAsia="Times New Roman" w:hAnsi="Verdana" w:cs="Times New Roman"/>
          <w:b/>
          <w:bCs/>
          <w:color w:val="000000"/>
          <w:lang w:eastAsia="fr-FR"/>
        </w:rPr>
        <w:t>unité fondamentale structurale et fonctionnelle</w:t>
      </w:r>
      <w:r w:rsidRPr="00DD750D">
        <w:rPr>
          <w:rFonts w:ascii="Verdana" w:eastAsia="Times New Roman" w:hAnsi="Verdana" w:cs="Times New Roman"/>
          <w:color w:val="000000"/>
          <w:lang w:eastAsia="fr-FR"/>
        </w:rPr>
        <w:t> des organismes vivants. Elle est la </w:t>
      </w:r>
      <w:r w:rsidRPr="00DD750D">
        <w:rPr>
          <w:rFonts w:ascii="Verdana" w:eastAsia="Times New Roman" w:hAnsi="Verdana" w:cs="Times New Roman"/>
          <w:b/>
          <w:bCs/>
          <w:color w:val="000000"/>
          <w:lang w:eastAsia="fr-FR"/>
        </w:rPr>
        <w:t>plus petite quantité de matière vivante</w:t>
      </w:r>
      <w:r w:rsidR="00D40380">
        <w:rPr>
          <w:rFonts w:ascii="Verdana" w:eastAsia="Times New Roman" w:hAnsi="Verdana" w:cs="Times New Roman"/>
          <w:b/>
          <w:bCs/>
          <w:color w:val="000000"/>
          <w:lang w:eastAsia="fr-FR"/>
        </w:rPr>
        <w:t xml:space="preserve"> </w:t>
      </w:r>
      <w:r w:rsidRPr="00DD750D">
        <w:rPr>
          <w:rFonts w:ascii="Verdana" w:eastAsia="Times New Roman" w:hAnsi="Verdana" w:cs="Times New Roman"/>
          <w:color w:val="000000"/>
          <w:lang w:eastAsia="fr-FR"/>
        </w:rPr>
        <w:t>qui puisse exister. Une cellule c'est une petite unité limitée par une membrane, remplies d'une solution aqueuse concentrée de substances chimiques, et dotées de l'extraordinaire capacité de créer des copies d'elles-mêmes en grandissant et en se divisant en deux. C'est en comprenant le fonctionnement des cellules que nous pouvons comprendre le fonctionnement de la vie.</w:t>
      </w:r>
    </w:p>
    <w:p w:rsidR="00DD750D" w:rsidRPr="00DD750D" w:rsidRDefault="00DD750D" w:rsidP="00DD750D">
      <w:pPr>
        <w:shd w:val="clear" w:color="auto" w:fill="6B7921"/>
        <w:spacing w:before="100" w:beforeAutospacing="1" w:after="100" w:afterAutospacing="1" w:line="240" w:lineRule="auto"/>
        <w:rPr>
          <w:rFonts w:ascii="Verdana" w:eastAsia="Times New Roman" w:hAnsi="Verdana" w:cs="Times New Roman"/>
          <w:color w:val="000000"/>
          <w:lang w:eastAsia="fr-FR"/>
        </w:rPr>
      </w:pPr>
      <w:r w:rsidRPr="00DD750D">
        <w:rPr>
          <w:rFonts w:ascii="Verdana" w:eastAsia="Times New Roman" w:hAnsi="Verdana" w:cs="Times New Roman"/>
          <w:color w:val="000000"/>
          <w:lang w:eastAsia="fr-FR"/>
        </w:rPr>
        <w:t xml:space="preserve">Les cellules ne contiennent pas toutes les mêmes organites dans les mêmes proportions. Une des plus </w:t>
      </w:r>
      <w:proofErr w:type="gramStart"/>
      <w:r w:rsidRPr="00DD750D">
        <w:rPr>
          <w:rFonts w:ascii="Verdana" w:eastAsia="Times New Roman" w:hAnsi="Verdana" w:cs="Times New Roman"/>
          <w:color w:val="000000"/>
          <w:lang w:eastAsia="fr-FR"/>
        </w:rPr>
        <w:t>grande différence</w:t>
      </w:r>
      <w:proofErr w:type="gramEnd"/>
      <w:r w:rsidRPr="00DD750D">
        <w:rPr>
          <w:rFonts w:ascii="Verdana" w:eastAsia="Times New Roman" w:hAnsi="Verdana" w:cs="Times New Roman"/>
          <w:color w:val="000000"/>
          <w:lang w:eastAsia="fr-FR"/>
        </w:rPr>
        <w:t xml:space="preserve"> se situe au niveau du noyau. Les</w:t>
      </w:r>
      <w:r w:rsidR="00D40380">
        <w:rPr>
          <w:rFonts w:ascii="Verdana" w:eastAsia="Times New Roman" w:hAnsi="Verdana" w:cs="Times New Roman"/>
          <w:color w:val="000000"/>
          <w:lang w:eastAsia="fr-FR"/>
        </w:rPr>
        <w:t xml:space="preserve"> </w:t>
      </w:r>
      <w:r w:rsidRPr="00DD750D">
        <w:rPr>
          <w:rFonts w:ascii="Verdana" w:eastAsia="Times New Roman" w:hAnsi="Verdana" w:cs="Times New Roman"/>
          <w:b/>
          <w:bCs/>
          <w:color w:val="000000"/>
          <w:lang w:eastAsia="fr-FR"/>
        </w:rPr>
        <w:t>procaryotes</w:t>
      </w:r>
      <w:r w:rsidRPr="00DD750D">
        <w:rPr>
          <w:rFonts w:ascii="Verdana" w:eastAsia="Times New Roman" w:hAnsi="Verdana" w:cs="Times New Roman"/>
          <w:color w:val="000000"/>
          <w:lang w:eastAsia="fr-FR"/>
        </w:rPr>
        <w:t> (</w:t>
      </w:r>
      <w:r w:rsidRPr="00DD750D">
        <w:rPr>
          <w:rFonts w:ascii="Verdana" w:eastAsia="Times New Roman" w:hAnsi="Verdana" w:cs="Times New Roman"/>
          <w:i/>
          <w:iCs/>
          <w:color w:val="000000"/>
          <w:lang w:eastAsia="fr-FR"/>
        </w:rPr>
        <w:t>pro</w:t>
      </w:r>
      <w:r w:rsidRPr="00DD750D">
        <w:rPr>
          <w:rFonts w:ascii="Verdana" w:eastAsia="Times New Roman" w:hAnsi="Verdana" w:cs="Times New Roman"/>
          <w:color w:val="000000"/>
          <w:lang w:eastAsia="fr-FR"/>
        </w:rPr>
        <w:t>, signifiant «avant» et </w:t>
      </w:r>
      <w:proofErr w:type="spellStart"/>
      <w:r w:rsidRPr="00DD750D">
        <w:rPr>
          <w:rFonts w:ascii="Verdana" w:eastAsia="Times New Roman" w:hAnsi="Verdana" w:cs="Times New Roman"/>
          <w:i/>
          <w:iCs/>
          <w:color w:val="000000"/>
          <w:lang w:eastAsia="fr-FR"/>
        </w:rPr>
        <w:t>karyon</w:t>
      </w:r>
      <w:proofErr w:type="spellEnd"/>
      <w:r w:rsidRPr="00DD750D">
        <w:rPr>
          <w:rFonts w:ascii="Verdana" w:eastAsia="Times New Roman" w:hAnsi="Verdana" w:cs="Times New Roman"/>
          <w:color w:val="000000"/>
          <w:lang w:eastAsia="fr-FR"/>
        </w:rPr>
        <w:t>, signifiant «noyau») sont des cellules sans noyau qui sont plus anciennes du point de vue de l'évolution que les </w:t>
      </w:r>
      <w:r w:rsidRPr="00DD750D">
        <w:rPr>
          <w:rFonts w:ascii="Verdana" w:eastAsia="Times New Roman" w:hAnsi="Verdana" w:cs="Times New Roman"/>
          <w:b/>
          <w:bCs/>
          <w:color w:val="000000"/>
          <w:lang w:eastAsia="fr-FR"/>
        </w:rPr>
        <w:t>eucaryotes</w:t>
      </w:r>
      <w:r w:rsidRPr="00DD750D">
        <w:rPr>
          <w:rFonts w:ascii="Verdana" w:eastAsia="Times New Roman" w:hAnsi="Verdana" w:cs="Times New Roman"/>
          <w:color w:val="000000"/>
          <w:lang w:eastAsia="fr-FR"/>
        </w:rPr>
        <w:t> (</w:t>
      </w:r>
      <w:r w:rsidRPr="00DD750D">
        <w:rPr>
          <w:rFonts w:ascii="Verdana" w:eastAsia="Times New Roman" w:hAnsi="Verdana" w:cs="Times New Roman"/>
          <w:i/>
          <w:iCs/>
          <w:color w:val="000000"/>
          <w:lang w:eastAsia="fr-FR"/>
        </w:rPr>
        <w:t>eu</w:t>
      </w:r>
      <w:r w:rsidRPr="00DD750D">
        <w:rPr>
          <w:rFonts w:ascii="Verdana" w:eastAsia="Times New Roman" w:hAnsi="Verdana" w:cs="Times New Roman"/>
          <w:color w:val="000000"/>
          <w:lang w:eastAsia="fr-FR"/>
        </w:rPr>
        <w:t xml:space="preserve">, signifiant «vrai») qui eu possèdent un noyau. L'étude des procaryotes ou des bactéries fait l'objet d'une autre matière, </w:t>
      </w:r>
      <w:proofErr w:type="spellStart"/>
      <w:r w:rsidRPr="00DD750D">
        <w:rPr>
          <w:rFonts w:ascii="Verdana" w:eastAsia="Times New Roman" w:hAnsi="Verdana" w:cs="Times New Roman"/>
          <w:color w:val="000000"/>
          <w:lang w:eastAsia="fr-FR"/>
        </w:rPr>
        <w:t>la</w:t>
      </w:r>
      <w:hyperlink r:id="rId5" w:anchor="micro" w:tgtFrame="_blank" w:history="1">
        <w:r w:rsidRPr="00DD750D">
          <w:rPr>
            <w:rFonts w:ascii="Verdana" w:eastAsia="Times New Roman" w:hAnsi="Verdana" w:cs="Times New Roman"/>
            <w:color w:val="0000FF"/>
            <w:u w:val="single"/>
            <w:lang w:eastAsia="fr-FR"/>
          </w:rPr>
          <w:t>microbiologie</w:t>
        </w:r>
        <w:proofErr w:type="spellEnd"/>
      </w:hyperlink>
      <w:r w:rsidRPr="00DD750D">
        <w:rPr>
          <w:rFonts w:ascii="Verdana" w:eastAsia="Times New Roman" w:hAnsi="Verdana" w:cs="Times New Roman"/>
          <w:color w:val="000000"/>
          <w:lang w:eastAsia="fr-FR"/>
        </w:rPr>
        <w:t>.</w:t>
      </w:r>
    </w:p>
    <w:p w:rsidR="00DD750D" w:rsidRPr="00DD750D" w:rsidRDefault="00DD750D" w:rsidP="00DD750D">
      <w:pPr>
        <w:shd w:val="clear" w:color="auto" w:fill="6B7921"/>
        <w:spacing w:before="100" w:beforeAutospacing="1" w:after="100" w:afterAutospacing="1" w:line="240" w:lineRule="auto"/>
        <w:rPr>
          <w:rFonts w:ascii="Verdana" w:eastAsia="Times New Roman" w:hAnsi="Verdana" w:cs="Times New Roman"/>
          <w:color w:val="000000"/>
          <w:lang w:eastAsia="fr-FR"/>
        </w:rPr>
      </w:pPr>
      <w:r w:rsidRPr="00DD750D">
        <w:rPr>
          <w:rFonts w:ascii="Verdana" w:eastAsia="Times New Roman" w:hAnsi="Verdana" w:cs="Times New Roman"/>
          <w:color w:val="000000"/>
          <w:lang w:eastAsia="fr-FR"/>
        </w:rPr>
        <w:t xml:space="preserve">Les cellules eucaryotes constituent tous les organismes pluricellulaires </w:t>
      </w:r>
      <w:proofErr w:type="gramStart"/>
      <w:r w:rsidRPr="00DD750D">
        <w:rPr>
          <w:rFonts w:ascii="Verdana" w:eastAsia="Times New Roman" w:hAnsi="Verdana" w:cs="Times New Roman"/>
          <w:color w:val="000000"/>
          <w:lang w:eastAsia="fr-FR"/>
        </w:rPr>
        <w:t>telles</w:t>
      </w:r>
      <w:proofErr w:type="gramEnd"/>
      <w:r w:rsidRPr="00DD750D">
        <w:rPr>
          <w:rFonts w:ascii="Verdana" w:eastAsia="Times New Roman" w:hAnsi="Verdana" w:cs="Times New Roman"/>
          <w:color w:val="000000"/>
          <w:lang w:eastAsia="fr-FR"/>
        </w:rPr>
        <w:t xml:space="preserve"> que les plantes, les animaux, les champignons mais elles se retrouvent aussi à l'état unicellulaire comme les amibes ou les levures. Allons voir de plus près de quoi est constituée une telle cellule.</w:t>
      </w:r>
    </w:p>
    <w:p w:rsidR="00DD750D" w:rsidRPr="00DD750D" w:rsidRDefault="00DD750D" w:rsidP="00DD750D">
      <w:pPr>
        <w:shd w:val="clear" w:color="auto" w:fill="6B7921"/>
        <w:spacing w:before="100" w:beforeAutospacing="1" w:after="100" w:afterAutospacing="1" w:line="240" w:lineRule="auto"/>
        <w:jc w:val="right"/>
        <w:rPr>
          <w:rFonts w:ascii="Verdana" w:eastAsia="Times New Roman" w:hAnsi="Verdana" w:cs="Times New Roman"/>
          <w:color w:val="000000"/>
          <w:lang w:eastAsia="fr-FR"/>
        </w:rPr>
      </w:pPr>
      <w:r>
        <w:rPr>
          <w:rFonts w:ascii="Verdana" w:eastAsia="Times New Roman" w:hAnsi="Verdana" w:cs="Times New Roman"/>
          <w:noProof/>
          <w:color w:val="0000FF"/>
          <w:lang w:eastAsia="fr-FR"/>
        </w:rPr>
        <w:drawing>
          <wp:inline distT="0" distB="0" distL="0" distR="0">
            <wp:extent cx="381000" cy="333375"/>
            <wp:effectExtent l="19050" t="0" r="0" b="0"/>
            <wp:docPr id="1" name="Image 1" descr="http://www.er.uqam.ca/nobel/m315324/image/ancre_cocc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uqam.ca/nobel/m315324/image/ancre_cocci.jpg">
                      <a:hlinkClick r:id="rId6"/>
                    </pic:cNvPr>
                    <pic:cNvPicPr>
                      <a:picLocks noChangeAspect="1" noChangeArrowheads="1"/>
                    </pic:cNvPicPr>
                  </pic:nvPicPr>
                  <pic:blipFill>
                    <a:blip r:embed="rId7" cstate="print"/>
                    <a:srcRect/>
                    <a:stretch>
                      <a:fillRect/>
                    </a:stretch>
                  </pic:blipFill>
                  <pic:spPr bwMode="auto">
                    <a:xfrm>
                      <a:off x="0" y="0"/>
                      <a:ext cx="381000" cy="333375"/>
                    </a:xfrm>
                    <a:prstGeom prst="rect">
                      <a:avLst/>
                    </a:prstGeom>
                    <a:noFill/>
                    <a:ln w="9525">
                      <a:noFill/>
                      <a:miter lim="800000"/>
                      <a:headEnd/>
                      <a:tailEnd/>
                    </a:ln>
                  </pic:spPr>
                </pic:pic>
              </a:graphicData>
            </a:graphic>
          </wp:inline>
        </w:drawing>
      </w:r>
    </w:p>
    <w:p w:rsidR="00DD750D" w:rsidRPr="00DD750D" w:rsidRDefault="00DD750D" w:rsidP="00DD750D">
      <w:pPr>
        <w:shd w:val="clear" w:color="auto" w:fill="6B7921"/>
        <w:spacing w:before="100" w:beforeAutospacing="1" w:after="100" w:afterAutospacing="1" w:line="240" w:lineRule="auto"/>
        <w:jc w:val="center"/>
        <w:rPr>
          <w:rFonts w:ascii="Verdana" w:eastAsia="Times New Roman" w:hAnsi="Verdana" w:cs="Times New Roman"/>
          <w:color w:val="000000"/>
          <w:lang w:eastAsia="fr-FR"/>
        </w:rPr>
      </w:pPr>
      <w:r w:rsidRPr="00DD750D">
        <w:rPr>
          <w:rFonts w:ascii="Verdana" w:eastAsia="Times New Roman" w:hAnsi="Verdana" w:cs="Times New Roman"/>
          <w:color w:val="000000"/>
          <w:sz w:val="27"/>
          <w:szCs w:val="27"/>
          <w:lang w:eastAsia="fr-FR"/>
        </w:rPr>
        <w:t>La cellule</w:t>
      </w:r>
    </w:p>
    <w:tbl>
      <w:tblPr>
        <w:tblW w:w="5000" w:type="pct"/>
        <w:tblCellSpacing w:w="0" w:type="dxa"/>
        <w:tblBorders>
          <w:top w:val="outset" w:sz="6" w:space="0" w:color="000000"/>
          <w:left w:val="outset" w:sz="6" w:space="0" w:color="000000"/>
          <w:bottom w:val="outset" w:sz="6" w:space="0" w:color="000000"/>
          <w:right w:val="outset" w:sz="6" w:space="0" w:color="000000"/>
        </w:tblBorders>
        <w:shd w:val="clear" w:color="auto" w:fill="6B7921"/>
        <w:tblCellMar>
          <w:top w:w="15" w:type="dxa"/>
          <w:left w:w="15" w:type="dxa"/>
          <w:bottom w:w="15" w:type="dxa"/>
          <w:right w:w="15" w:type="dxa"/>
        </w:tblCellMar>
        <w:tblLook w:val="04A0" w:firstRow="1" w:lastRow="0" w:firstColumn="1" w:lastColumn="0" w:noHBand="0" w:noVBand="1"/>
      </w:tblPr>
      <w:tblGrid>
        <w:gridCol w:w="2385"/>
        <w:gridCol w:w="1440"/>
        <w:gridCol w:w="5307"/>
      </w:tblGrid>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Structure cellulaire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Image</w:t>
            </w:r>
          </w:p>
        </w:tc>
        <w:tc>
          <w:tcPr>
            <w:tcW w:w="30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Description / Rôle</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Membrane cytoplasmique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outlineLvl w:val="0"/>
              <w:rPr>
                <w:rFonts w:ascii="Verdana" w:eastAsia="Times New Roman" w:hAnsi="Verdana" w:cs="Times New Roman"/>
                <w:b/>
                <w:bCs/>
                <w:kern w:val="36"/>
                <w:sz w:val="48"/>
                <w:szCs w:val="48"/>
                <w:lang w:eastAsia="fr-FR"/>
              </w:rPr>
            </w:pPr>
            <w:r>
              <w:rPr>
                <w:rFonts w:ascii="Verdana" w:eastAsia="Times New Roman" w:hAnsi="Verdana" w:cs="Times New Roman"/>
                <w:b/>
                <w:bCs/>
                <w:noProof/>
                <w:color w:val="0000FF"/>
                <w:kern w:val="36"/>
                <w:sz w:val="48"/>
                <w:szCs w:val="48"/>
                <w:lang w:eastAsia="fr-FR"/>
              </w:rPr>
              <w:drawing>
                <wp:inline distT="0" distB="0" distL="0" distR="0">
                  <wp:extent cx="857250" cy="590550"/>
                  <wp:effectExtent l="19050" t="0" r="0" b="0"/>
                  <wp:docPr id="2" name="Image 2" descr="http://www.er.uqam.ca/nobel/m315324/image/membrane_plasmique_petite.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uqam.ca/nobel/m315324/image/membrane_plasmique_petite.gif">
                            <a:hlinkClick r:id="rId8" tgtFrame="&quot;_blank&quot;"/>
                          </pic:cNvPr>
                          <pic:cNvPicPr>
                            <a:picLocks noChangeAspect="1" noChangeArrowheads="1"/>
                          </pic:cNvPicPr>
                        </pic:nvPicPr>
                        <pic:blipFill>
                          <a:blip r:embed="rId9" cstate="print"/>
                          <a:srcRect/>
                          <a:stretch>
                            <a:fillRect/>
                          </a:stretch>
                        </pic:blipFill>
                        <pic:spPr bwMode="auto">
                          <a:xfrm>
                            <a:off x="0" y="0"/>
                            <a:ext cx="857250" cy="590550"/>
                          </a:xfrm>
                          <a:prstGeom prst="rect">
                            <a:avLst/>
                          </a:prstGeom>
                          <a:noFill/>
                          <a:ln w="9525">
                            <a:noFill/>
                            <a:miter lim="800000"/>
                            <a:headEnd/>
                            <a:tailEnd/>
                          </a:ln>
                        </pic:spPr>
                      </pic:pic>
                    </a:graphicData>
                  </a:graphic>
                </wp:inline>
              </w:drawing>
            </w:r>
          </w:p>
        </w:tc>
        <w:tc>
          <w:tcPr>
            <w:tcW w:w="3000" w:type="pct"/>
            <w:tcBorders>
              <w:top w:val="outset" w:sz="6" w:space="0" w:color="000000"/>
              <w:left w:val="outset" w:sz="6" w:space="0" w:color="000000"/>
              <w:bottom w:val="outset" w:sz="6" w:space="0" w:color="000000"/>
              <w:right w:val="outset" w:sz="6" w:space="0" w:color="000000"/>
            </w:tcBorders>
            <w:shd w:val="clear" w:color="auto" w:fill="6B7921"/>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Enveloppe semi-perméable de la cellule. Permet l'absorption des substances utiles et l'élimination des déchets. Permet de maintenir le contenu cellulaire.</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Cytoplasme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lang w:eastAsia="fr-FR"/>
              </w:rPr>
              <w:t> </w:t>
            </w:r>
          </w:p>
        </w:tc>
        <w:tc>
          <w:tcPr>
            <w:tcW w:w="3000" w:type="pct"/>
            <w:tcBorders>
              <w:top w:val="outset" w:sz="6" w:space="0" w:color="000000"/>
              <w:left w:val="outset" w:sz="6" w:space="0" w:color="000000"/>
              <w:bottom w:val="outset" w:sz="6" w:space="0" w:color="000000"/>
              <w:right w:val="outset" w:sz="6" w:space="0" w:color="000000"/>
            </w:tcBorders>
            <w:shd w:val="clear" w:color="auto" w:fill="6B7921"/>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 xml:space="preserve">Gel aqueux délimité par la membrane dans lequel baignent les </w:t>
            </w:r>
            <w:proofErr w:type="spellStart"/>
            <w:r w:rsidRPr="00DD750D">
              <w:rPr>
                <w:rFonts w:ascii="Verdana" w:eastAsia="Times New Roman" w:hAnsi="Verdana" w:cs="Times New Roman"/>
                <w:sz w:val="20"/>
                <w:szCs w:val="20"/>
                <w:lang w:eastAsia="fr-FR"/>
              </w:rPr>
              <w:t>organites.Siège</w:t>
            </w:r>
            <w:proofErr w:type="spellEnd"/>
            <w:r w:rsidRPr="00DD750D">
              <w:rPr>
                <w:rFonts w:ascii="Verdana" w:eastAsia="Times New Roman" w:hAnsi="Verdana" w:cs="Times New Roman"/>
                <w:sz w:val="20"/>
                <w:szCs w:val="20"/>
                <w:lang w:eastAsia="fr-FR"/>
              </w:rPr>
              <w:t xml:space="preserve"> des réactions chimiques.</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Noyau</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Pr>
                <w:rFonts w:ascii="Verdana" w:eastAsia="Times New Roman" w:hAnsi="Verdana" w:cs="Times New Roman"/>
                <w:noProof/>
                <w:color w:val="0000FF"/>
                <w:lang w:eastAsia="fr-FR"/>
              </w:rPr>
              <w:drawing>
                <wp:inline distT="0" distB="0" distL="0" distR="0">
                  <wp:extent cx="857250" cy="514350"/>
                  <wp:effectExtent l="19050" t="0" r="0" b="0"/>
                  <wp:docPr id="3" name="Image 3" descr="http://www.er.uqam.ca/nobel/m315324/image/noyau_petit.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uqam.ca/nobel/m315324/image/noyau_petit.jpg">
                            <a:hlinkClick r:id="rId10" tgtFrame="&quot;_blank&quot;"/>
                          </pic:cNvPr>
                          <pic:cNvPicPr>
                            <a:picLocks noChangeAspect="1" noChangeArrowheads="1"/>
                          </pic:cNvPicPr>
                        </pic:nvPicPr>
                        <pic:blipFill>
                          <a:blip r:embed="rId11" cstate="print"/>
                          <a:srcRect/>
                          <a:stretch>
                            <a:fillRect/>
                          </a:stretch>
                        </pic:blipFill>
                        <pic:spPr bwMode="auto">
                          <a:xfrm>
                            <a:off x="0" y="0"/>
                            <a:ext cx="857250" cy="514350"/>
                          </a:xfrm>
                          <a:prstGeom prst="rect">
                            <a:avLst/>
                          </a:prstGeom>
                          <a:noFill/>
                          <a:ln w="9525">
                            <a:noFill/>
                            <a:miter lim="800000"/>
                            <a:headEnd/>
                            <a:tailEnd/>
                          </a:ln>
                        </pic:spPr>
                      </pic:pic>
                    </a:graphicData>
                  </a:graphic>
                </wp:inline>
              </w:drawing>
            </w:r>
          </w:p>
        </w:tc>
        <w:tc>
          <w:tcPr>
            <w:tcW w:w="30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Organite le plus volumineux. Délimité par deux membranes (enveloppes nucléaire). Contient le matériel génétique.</w:t>
            </w:r>
          </w:p>
        </w:tc>
      </w:tr>
    </w:tbl>
    <w:p w:rsidR="00DD750D" w:rsidRPr="00DD750D" w:rsidRDefault="00DD750D" w:rsidP="00DD750D">
      <w:pPr>
        <w:shd w:val="clear" w:color="auto" w:fill="6B7921"/>
        <w:spacing w:before="100" w:beforeAutospacing="1" w:after="100" w:afterAutospacing="1" w:line="240" w:lineRule="auto"/>
        <w:jc w:val="right"/>
        <w:rPr>
          <w:rFonts w:ascii="Verdana" w:eastAsia="Times New Roman" w:hAnsi="Verdana" w:cs="Times New Roman"/>
          <w:color w:val="000000"/>
          <w:lang w:eastAsia="fr-FR"/>
        </w:rPr>
      </w:pPr>
      <w:r>
        <w:rPr>
          <w:rFonts w:ascii="Verdana" w:eastAsia="Times New Roman" w:hAnsi="Verdana" w:cs="Times New Roman"/>
          <w:noProof/>
          <w:color w:val="0000FF"/>
          <w:lang w:eastAsia="fr-FR"/>
        </w:rPr>
        <w:drawing>
          <wp:inline distT="0" distB="0" distL="0" distR="0">
            <wp:extent cx="381000" cy="333375"/>
            <wp:effectExtent l="19050" t="0" r="0" b="0"/>
            <wp:docPr id="4" name="Image 4" descr="http://www.er.uqam.ca/nobel/m315324/image/ancre_cocc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uqam.ca/nobel/m315324/image/ancre_cocci.jpg">
                      <a:hlinkClick r:id="rId6"/>
                    </pic:cNvPr>
                    <pic:cNvPicPr>
                      <a:picLocks noChangeAspect="1" noChangeArrowheads="1"/>
                    </pic:cNvPicPr>
                  </pic:nvPicPr>
                  <pic:blipFill>
                    <a:blip r:embed="rId7" cstate="print"/>
                    <a:srcRect/>
                    <a:stretch>
                      <a:fillRect/>
                    </a:stretch>
                  </pic:blipFill>
                  <pic:spPr bwMode="auto">
                    <a:xfrm>
                      <a:off x="0" y="0"/>
                      <a:ext cx="381000" cy="333375"/>
                    </a:xfrm>
                    <a:prstGeom prst="rect">
                      <a:avLst/>
                    </a:prstGeom>
                    <a:noFill/>
                    <a:ln w="9525">
                      <a:noFill/>
                      <a:miter lim="800000"/>
                      <a:headEnd/>
                      <a:tailEnd/>
                    </a:ln>
                  </pic:spPr>
                </pic:pic>
              </a:graphicData>
            </a:graphic>
          </wp:inline>
        </w:drawing>
      </w:r>
    </w:p>
    <w:p w:rsidR="00DD750D" w:rsidRPr="00DD750D" w:rsidRDefault="00DD750D" w:rsidP="00DD750D">
      <w:pPr>
        <w:shd w:val="clear" w:color="auto" w:fill="6B7921"/>
        <w:spacing w:before="100" w:beforeAutospacing="1" w:after="100" w:afterAutospacing="1" w:line="240" w:lineRule="auto"/>
        <w:jc w:val="center"/>
        <w:rPr>
          <w:rFonts w:ascii="Verdana" w:eastAsia="Times New Roman" w:hAnsi="Verdana" w:cs="Times New Roman"/>
          <w:color w:val="000000"/>
          <w:lang w:eastAsia="fr-FR"/>
        </w:rPr>
      </w:pPr>
      <w:r w:rsidRPr="00DD750D">
        <w:rPr>
          <w:rFonts w:ascii="Verdana" w:eastAsia="Times New Roman" w:hAnsi="Verdana" w:cs="Times New Roman"/>
          <w:color w:val="000000"/>
          <w:sz w:val="27"/>
          <w:szCs w:val="27"/>
          <w:lang w:eastAsia="fr-FR"/>
        </w:rPr>
        <w:t>Les organites</w:t>
      </w:r>
    </w:p>
    <w:tbl>
      <w:tblPr>
        <w:tblW w:w="5000" w:type="pct"/>
        <w:tblCellSpacing w:w="0" w:type="dxa"/>
        <w:tblBorders>
          <w:top w:val="outset" w:sz="6" w:space="0" w:color="000000"/>
          <w:left w:val="outset" w:sz="6" w:space="0" w:color="000000"/>
          <w:bottom w:val="outset" w:sz="6" w:space="0" w:color="000000"/>
          <w:right w:val="outset" w:sz="6" w:space="0" w:color="000000"/>
        </w:tblBorders>
        <w:shd w:val="clear" w:color="auto" w:fill="6B7921"/>
        <w:tblCellMar>
          <w:top w:w="15" w:type="dxa"/>
          <w:left w:w="15" w:type="dxa"/>
          <w:bottom w:w="15" w:type="dxa"/>
          <w:right w:w="15" w:type="dxa"/>
        </w:tblCellMar>
        <w:tblLook w:val="04A0" w:firstRow="1" w:lastRow="0" w:firstColumn="1" w:lastColumn="0" w:noHBand="0" w:noVBand="1"/>
      </w:tblPr>
      <w:tblGrid>
        <w:gridCol w:w="2557"/>
        <w:gridCol w:w="1096"/>
        <w:gridCol w:w="5479"/>
      </w:tblGrid>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Structure cellulaire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Image</w:t>
            </w:r>
          </w:p>
        </w:tc>
        <w:tc>
          <w:tcPr>
            <w:tcW w:w="30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Description / Rôle</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Microfilament ou microtubules</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Ils forment le</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cytosquelette</w:t>
            </w:r>
            <w:r w:rsidRPr="00DD750D">
              <w:rPr>
                <w:rFonts w:ascii="Verdana" w:eastAsia="Times New Roman" w:hAnsi="Verdana" w:cs="Times New Roman"/>
                <w:sz w:val="20"/>
                <w:szCs w:val="20"/>
                <w:lang w:eastAsia="fr-FR"/>
              </w:rPr>
              <w:t xml:space="preserve">. Ils servent pour </w:t>
            </w:r>
            <w:proofErr w:type="spellStart"/>
            <w:r w:rsidRPr="00DD750D">
              <w:rPr>
                <w:rFonts w:ascii="Verdana" w:eastAsia="Times New Roman" w:hAnsi="Verdana" w:cs="Times New Roman"/>
                <w:sz w:val="20"/>
                <w:szCs w:val="20"/>
                <w:lang w:eastAsia="fr-FR"/>
              </w:rPr>
              <w:t>la</w:t>
            </w:r>
            <w:r w:rsidRPr="00DD750D">
              <w:rPr>
                <w:rFonts w:ascii="Verdana" w:eastAsia="Times New Roman" w:hAnsi="Verdana" w:cs="Times New Roman"/>
                <w:b/>
                <w:bCs/>
                <w:sz w:val="20"/>
                <w:szCs w:val="20"/>
                <w:lang w:eastAsia="fr-FR"/>
              </w:rPr>
              <w:t>mobilité</w:t>
            </w:r>
            <w:proofErr w:type="spellEnd"/>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et la</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division</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cellulaire ainsi que pour le transport des vacuoles.</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lastRenderedPageBreak/>
              <w:t>Appareil de Golgi</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Organites formés d'un ensemble de plusieurs</w:t>
            </w:r>
            <w:r w:rsidR="00D40380">
              <w:rPr>
                <w:rFonts w:ascii="Verdana" w:eastAsia="Times New Roman" w:hAnsi="Verdana" w:cs="Times New Roman"/>
                <w:sz w:val="20"/>
                <w:szCs w:val="20"/>
                <w:lang w:eastAsia="fr-FR"/>
              </w:rPr>
              <w:t xml:space="preserve"> </w:t>
            </w:r>
            <w:r w:rsidRPr="00DD750D">
              <w:rPr>
                <w:rFonts w:ascii="Verdana" w:eastAsia="Times New Roman" w:hAnsi="Verdana" w:cs="Times New Roman"/>
                <w:b/>
                <w:bCs/>
                <w:sz w:val="20"/>
                <w:szCs w:val="20"/>
                <w:lang w:eastAsia="fr-FR"/>
              </w:rPr>
              <w:t>tubes membraneux aplatis</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dont les extrémités portent des petits sacs. Importants dans la</w:t>
            </w:r>
            <w:r w:rsidR="00D40380">
              <w:rPr>
                <w:rFonts w:ascii="Verdana" w:eastAsia="Times New Roman" w:hAnsi="Verdana" w:cs="Times New Roman"/>
                <w:sz w:val="20"/>
                <w:szCs w:val="20"/>
                <w:lang w:eastAsia="fr-FR"/>
              </w:rPr>
              <w:t xml:space="preserve"> </w:t>
            </w:r>
            <w:r w:rsidRPr="00DD750D">
              <w:rPr>
                <w:rFonts w:ascii="Verdana" w:eastAsia="Times New Roman" w:hAnsi="Verdana" w:cs="Times New Roman"/>
                <w:b/>
                <w:bCs/>
                <w:sz w:val="20"/>
                <w:szCs w:val="20"/>
                <w:lang w:eastAsia="fr-FR"/>
              </w:rPr>
              <w:t>transformation et empaquetage des produits de sécrétion.</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Réticulum endoplasmique</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Ensemble de</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membranes doubles ramifiées</w:t>
            </w:r>
            <w:r w:rsidRPr="00DD750D">
              <w:rPr>
                <w:rFonts w:ascii="Verdana" w:eastAsia="Times New Roman" w:hAnsi="Verdana" w:cs="Times New Roman"/>
                <w:sz w:val="20"/>
                <w:szCs w:val="20"/>
                <w:lang w:eastAsia="fr-FR"/>
              </w:rPr>
              <w:t>, allant de la membrane nucléaire à la membrane cytoplasmique.</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Transport</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des substances cytoplasmiques.</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Ribosomes</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Organites</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composés d'ARN</w:t>
            </w:r>
            <w:r w:rsidRPr="00DD750D">
              <w:rPr>
                <w:rFonts w:ascii="Verdana" w:eastAsia="Times New Roman" w:hAnsi="Verdana" w:cs="Times New Roman"/>
                <w:sz w:val="20"/>
                <w:szCs w:val="20"/>
                <w:lang w:eastAsia="fr-FR"/>
              </w:rPr>
              <w:t>, en forme de grains, retrouvés à la surface du réticulum ou libres dans le cytoplasme. Site de la</w:t>
            </w:r>
            <w:r w:rsidRPr="00DD750D">
              <w:rPr>
                <w:rFonts w:ascii="Verdana" w:eastAsia="Times New Roman" w:hAnsi="Verdana" w:cs="Times New Roman"/>
                <w:sz w:val="20"/>
                <w:lang w:eastAsia="fr-FR"/>
              </w:rPr>
              <w:t> </w:t>
            </w:r>
            <w:proofErr w:type="spellStart"/>
            <w:r w:rsidRPr="00DD750D">
              <w:rPr>
                <w:rFonts w:ascii="Verdana" w:eastAsia="Times New Roman" w:hAnsi="Verdana" w:cs="Times New Roman"/>
                <w:b/>
                <w:bCs/>
                <w:sz w:val="20"/>
                <w:szCs w:val="20"/>
                <w:lang w:eastAsia="fr-FR"/>
              </w:rPr>
              <w:t>sythèse</w:t>
            </w:r>
            <w:proofErr w:type="spellEnd"/>
            <w:r w:rsidRPr="00DD750D">
              <w:rPr>
                <w:rFonts w:ascii="Verdana" w:eastAsia="Times New Roman" w:hAnsi="Verdana" w:cs="Times New Roman"/>
                <w:b/>
                <w:bCs/>
                <w:sz w:val="20"/>
                <w:szCs w:val="20"/>
                <w:lang w:eastAsia="fr-FR"/>
              </w:rPr>
              <w:t xml:space="preserve"> des protéines</w:t>
            </w:r>
            <w:r w:rsidRPr="00DD750D">
              <w:rPr>
                <w:rFonts w:ascii="Verdana" w:eastAsia="Times New Roman" w:hAnsi="Verdana" w:cs="Times New Roman"/>
                <w:sz w:val="20"/>
                <w:szCs w:val="20"/>
                <w:lang w:eastAsia="fr-FR"/>
              </w:rPr>
              <w:t>.</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Lysosomes</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 xml:space="preserve">Organites </w:t>
            </w:r>
            <w:proofErr w:type="spellStart"/>
            <w:r w:rsidRPr="00DD750D">
              <w:rPr>
                <w:rFonts w:ascii="Verdana" w:eastAsia="Times New Roman" w:hAnsi="Verdana" w:cs="Times New Roman"/>
                <w:sz w:val="20"/>
                <w:szCs w:val="20"/>
                <w:lang w:eastAsia="fr-FR"/>
              </w:rPr>
              <w:t>spériques</w:t>
            </w:r>
            <w:proofErr w:type="spellEnd"/>
            <w:r w:rsidRPr="00DD750D">
              <w:rPr>
                <w:rFonts w:ascii="Verdana" w:eastAsia="Times New Roman" w:hAnsi="Verdana" w:cs="Times New Roman"/>
                <w:sz w:val="20"/>
                <w:szCs w:val="20"/>
                <w:lang w:eastAsia="fr-FR"/>
              </w:rPr>
              <w:t xml:space="preserve"> limités par une membrane et contenant des enzymes.</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Digestion des particules nuisibles</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à la vie cellulaire.</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Mitochondries</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Organites allongés limités par une double membrane; la membrane interne forme plusieurs replis. Site de la</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respiration</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cellulaire.</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Centrosome</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Granulation placée près du noyau, contient les centrioles. Intervient dans la</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 xml:space="preserve">division </w:t>
            </w:r>
            <w:proofErr w:type="spellStart"/>
            <w:r w:rsidRPr="00DD750D">
              <w:rPr>
                <w:rFonts w:ascii="Verdana" w:eastAsia="Times New Roman" w:hAnsi="Verdana" w:cs="Times New Roman"/>
                <w:b/>
                <w:bCs/>
                <w:sz w:val="20"/>
                <w:szCs w:val="20"/>
                <w:lang w:eastAsia="fr-FR"/>
              </w:rPr>
              <w:t>celluaire</w:t>
            </w:r>
            <w:proofErr w:type="spellEnd"/>
            <w:r w:rsidRPr="00DD750D">
              <w:rPr>
                <w:rFonts w:ascii="Verdana" w:eastAsia="Times New Roman" w:hAnsi="Verdana" w:cs="Times New Roman"/>
                <w:sz w:val="20"/>
                <w:szCs w:val="20"/>
                <w:lang w:eastAsia="fr-FR"/>
              </w:rPr>
              <w:t>.</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Vacuoles</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Cavités limitées par une membrane.</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Entreposage</w:t>
            </w:r>
            <w:r w:rsidR="00D40380">
              <w:rPr>
                <w:rFonts w:ascii="Verdana" w:eastAsia="Times New Roman" w:hAnsi="Verdana" w:cs="Times New Roman"/>
                <w:b/>
                <w:bCs/>
                <w:sz w:val="20"/>
                <w:szCs w:val="20"/>
                <w:lang w:eastAsia="fr-FR"/>
              </w:rPr>
              <w:t xml:space="preserve"> </w:t>
            </w:r>
            <w:r w:rsidRPr="00DD750D">
              <w:rPr>
                <w:rFonts w:ascii="Verdana" w:eastAsia="Times New Roman" w:hAnsi="Verdana" w:cs="Times New Roman"/>
                <w:sz w:val="20"/>
                <w:szCs w:val="20"/>
                <w:lang w:eastAsia="fr-FR"/>
              </w:rPr>
              <w:t>et transport de substances énergétiques ou déchets.</w:t>
            </w:r>
          </w:p>
        </w:tc>
      </w:tr>
      <w:tr w:rsidR="00DD750D" w:rsidRPr="00DD750D" w:rsidTr="00DD750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Plastes (cellule végétale)</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4"/>
                <w:szCs w:val="24"/>
                <w:lang w:eastAsia="fr-FR"/>
              </w:rPr>
              <w:t> </w:t>
            </w:r>
          </w:p>
        </w:tc>
        <w:tc>
          <w:tcPr>
            <w:tcW w:w="0" w:type="auto"/>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after="0" w:line="240" w:lineRule="auto"/>
              <w:rPr>
                <w:rFonts w:ascii="Verdana" w:eastAsia="Times New Roman" w:hAnsi="Verdana" w:cs="Times New Roman"/>
                <w:sz w:val="24"/>
                <w:szCs w:val="24"/>
                <w:lang w:eastAsia="fr-FR"/>
              </w:rPr>
            </w:pPr>
            <w:r w:rsidRPr="00DD750D">
              <w:rPr>
                <w:rFonts w:ascii="Verdana" w:eastAsia="Times New Roman" w:hAnsi="Verdana" w:cs="Times New Roman"/>
                <w:sz w:val="20"/>
                <w:szCs w:val="20"/>
                <w:lang w:eastAsia="fr-FR"/>
              </w:rPr>
              <w:t>Organites</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contenant des pigments</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qui servent à la</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photosynthèse</w:t>
            </w:r>
            <w:r w:rsidRPr="00DD750D">
              <w:rPr>
                <w:rFonts w:ascii="Verdana" w:eastAsia="Times New Roman" w:hAnsi="Verdana" w:cs="Times New Roman"/>
                <w:sz w:val="20"/>
                <w:szCs w:val="20"/>
                <w:lang w:eastAsia="fr-FR"/>
              </w:rPr>
              <w:t>. Donc ils servent à capter l'énergie solaire et à la transformer en énergie chimique.</w:t>
            </w:r>
          </w:p>
        </w:tc>
      </w:tr>
    </w:tbl>
    <w:p w:rsidR="00DD750D" w:rsidRPr="00DD750D" w:rsidRDefault="00DD750D" w:rsidP="00DD750D">
      <w:pPr>
        <w:shd w:val="clear" w:color="auto" w:fill="6B7921"/>
        <w:spacing w:before="100" w:beforeAutospacing="1" w:after="100" w:afterAutospacing="1" w:line="240" w:lineRule="auto"/>
        <w:jc w:val="right"/>
        <w:rPr>
          <w:rFonts w:ascii="Verdana" w:eastAsia="Times New Roman" w:hAnsi="Verdana" w:cs="Times New Roman"/>
          <w:color w:val="000000"/>
          <w:lang w:eastAsia="fr-FR"/>
        </w:rPr>
      </w:pPr>
      <w:r>
        <w:rPr>
          <w:rFonts w:ascii="Verdana" w:eastAsia="Times New Roman" w:hAnsi="Verdana" w:cs="Times New Roman"/>
          <w:noProof/>
          <w:color w:val="0000FF"/>
          <w:lang w:eastAsia="fr-FR"/>
        </w:rPr>
        <w:drawing>
          <wp:inline distT="0" distB="0" distL="0" distR="0">
            <wp:extent cx="381000" cy="333375"/>
            <wp:effectExtent l="19050" t="0" r="0" b="0"/>
            <wp:docPr id="5" name="Image 5" descr="http://www.er.uqam.ca/nobel/m315324/image/ancre_cocc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uqam.ca/nobel/m315324/image/ancre_cocci.jpg">
                      <a:hlinkClick r:id="rId6"/>
                    </pic:cNvPr>
                    <pic:cNvPicPr>
                      <a:picLocks noChangeAspect="1" noChangeArrowheads="1"/>
                    </pic:cNvPicPr>
                  </pic:nvPicPr>
                  <pic:blipFill>
                    <a:blip r:embed="rId7" cstate="print"/>
                    <a:srcRect/>
                    <a:stretch>
                      <a:fillRect/>
                    </a:stretch>
                  </pic:blipFill>
                  <pic:spPr bwMode="auto">
                    <a:xfrm>
                      <a:off x="0" y="0"/>
                      <a:ext cx="381000" cy="333375"/>
                    </a:xfrm>
                    <a:prstGeom prst="rect">
                      <a:avLst/>
                    </a:prstGeom>
                    <a:noFill/>
                    <a:ln w="9525">
                      <a:noFill/>
                      <a:miter lim="800000"/>
                      <a:headEnd/>
                      <a:tailEnd/>
                    </a:ln>
                  </pic:spPr>
                </pic:pic>
              </a:graphicData>
            </a:graphic>
          </wp:inline>
        </w:drawing>
      </w:r>
    </w:p>
    <w:p w:rsidR="00DD750D" w:rsidRPr="00DD750D" w:rsidRDefault="00DD750D" w:rsidP="00DD750D">
      <w:pPr>
        <w:shd w:val="clear" w:color="auto" w:fill="6B7921"/>
        <w:spacing w:before="100" w:beforeAutospacing="1" w:after="100" w:afterAutospacing="1" w:line="240" w:lineRule="auto"/>
        <w:jc w:val="center"/>
        <w:rPr>
          <w:rFonts w:ascii="Verdana" w:eastAsia="Times New Roman" w:hAnsi="Verdana" w:cs="Times New Roman"/>
          <w:color w:val="000000"/>
          <w:lang w:eastAsia="fr-FR"/>
        </w:rPr>
      </w:pPr>
      <w:r w:rsidRPr="00DD750D">
        <w:rPr>
          <w:rFonts w:ascii="Verdana" w:eastAsia="Times New Roman" w:hAnsi="Verdana" w:cs="Times New Roman"/>
          <w:color w:val="000000"/>
          <w:sz w:val="27"/>
          <w:szCs w:val="27"/>
          <w:lang w:eastAsia="fr-FR"/>
        </w:rPr>
        <w:t>Le noyau</w:t>
      </w:r>
    </w:p>
    <w:tbl>
      <w:tblPr>
        <w:tblW w:w="5000" w:type="pct"/>
        <w:tblCellSpacing w:w="0" w:type="dxa"/>
        <w:tblBorders>
          <w:top w:val="outset" w:sz="6" w:space="0" w:color="000000"/>
          <w:left w:val="outset" w:sz="6" w:space="0" w:color="000000"/>
          <w:bottom w:val="outset" w:sz="6" w:space="0" w:color="000000"/>
          <w:right w:val="outset" w:sz="6" w:space="0" w:color="000000"/>
        </w:tblBorders>
        <w:shd w:val="clear" w:color="auto" w:fill="6B7921"/>
        <w:tblCellMar>
          <w:top w:w="15" w:type="dxa"/>
          <w:left w:w="15" w:type="dxa"/>
          <w:bottom w:w="15" w:type="dxa"/>
          <w:right w:w="15" w:type="dxa"/>
        </w:tblCellMar>
        <w:tblLook w:val="04A0" w:firstRow="1" w:lastRow="0" w:firstColumn="1" w:lastColumn="0" w:noHBand="0" w:noVBand="1"/>
      </w:tblPr>
      <w:tblGrid>
        <w:gridCol w:w="2557"/>
        <w:gridCol w:w="1096"/>
        <w:gridCol w:w="5479"/>
      </w:tblGrid>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Structure cellulaire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Image</w:t>
            </w:r>
          </w:p>
        </w:tc>
        <w:tc>
          <w:tcPr>
            <w:tcW w:w="30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jc w:val="center"/>
              <w:rPr>
                <w:rFonts w:ascii="Verdana" w:eastAsia="Times New Roman" w:hAnsi="Verdana" w:cs="Times New Roman"/>
                <w:lang w:eastAsia="fr-FR"/>
              </w:rPr>
            </w:pPr>
            <w:r w:rsidRPr="00DD750D">
              <w:rPr>
                <w:rFonts w:ascii="Verdana" w:eastAsia="Times New Roman" w:hAnsi="Verdana" w:cs="Times New Roman"/>
                <w:lang w:eastAsia="fr-FR"/>
              </w:rPr>
              <w:t>Description / Rôle</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Membrane nucléaire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outlineLvl w:val="0"/>
              <w:rPr>
                <w:rFonts w:ascii="Verdana" w:eastAsia="Times New Roman" w:hAnsi="Verdana" w:cs="Times New Roman"/>
                <w:b/>
                <w:bCs/>
                <w:kern w:val="36"/>
                <w:sz w:val="48"/>
                <w:szCs w:val="48"/>
                <w:lang w:eastAsia="fr-FR"/>
              </w:rPr>
            </w:pPr>
            <w:r w:rsidRPr="00DD750D">
              <w:rPr>
                <w:rFonts w:ascii="Verdana" w:eastAsia="Times New Roman" w:hAnsi="Verdana" w:cs="Times New Roman"/>
                <w:b/>
                <w:bCs/>
                <w:kern w:val="36"/>
                <w:sz w:val="48"/>
                <w:szCs w:val="48"/>
                <w:lang w:eastAsia="fr-FR"/>
              </w:rPr>
              <w:t> </w:t>
            </w:r>
          </w:p>
        </w:tc>
        <w:tc>
          <w:tcPr>
            <w:tcW w:w="3000" w:type="pct"/>
            <w:tcBorders>
              <w:top w:val="outset" w:sz="6" w:space="0" w:color="000000"/>
              <w:left w:val="outset" w:sz="6" w:space="0" w:color="000000"/>
              <w:bottom w:val="outset" w:sz="6" w:space="0" w:color="000000"/>
              <w:right w:val="outset" w:sz="6" w:space="0" w:color="000000"/>
            </w:tcBorders>
            <w:shd w:val="clear" w:color="auto" w:fill="6B7921"/>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Double membrane délimitant le nucléoplasme et semi-perméable. Permet les</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échanges entre le noyau et le cytoplasme</w:t>
            </w:r>
            <w:r w:rsidRPr="00DD750D">
              <w:rPr>
                <w:rFonts w:ascii="Verdana" w:eastAsia="Times New Roman" w:hAnsi="Verdana" w:cs="Times New Roman"/>
                <w:sz w:val="20"/>
                <w:szCs w:val="20"/>
                <w:lang w:eastAsia="fr-FR"/>
              </w:rPr>
              <w:t>.</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Chromatine</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lang w:eastAsia="fr-FR"/>
              </w:rPr>
              <w:t> </w:t>
            </w:r>
          </w:p>
        </w:tc>
        <w:tc>
          <w:tcPr>
            <w:tcW w:w="3000" w:type="pct"/>
            <w:tcBorders>
              <w:top w:val="outset" w:sz="6" w:space="0" w:color="000000"/>
              <w:left w:val="outset" w:sz="6" w:space="0" w:color="000000"/>
              <w:bottom w:val="outset" w:sz="6" w:space="0" w:color="000000"/>
              <w:right w:val="outset" w:sz="6" w:space="0" w:color="000000"/>
            </w:tcBorders>
            <w:shd w:val="clear" w:color="auto" w:fill="6B7921"/>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Forme allongée des chromosomes, principalement formés d'ADN.</w:t>
            </w:r>
            <w:r w:rsidRPr="00DD750D">
              <w:rPr>
                <w:rFonts w:ascii="Verdana" w:eastAsia="Times New Roman" w:hAnsi="Verdana" w:cs="Times New Roman"/>
                <w:sz w:val="20"/>
                <w:lang w:eastAsia="fr-FR"/>
              </w:rPr>
              <w:t> </w:t>
            </w:r>
            <w:r w:rsidRPr="00DD750D">
              <w:rPr>
                <w:rFonts w:ascii="Verdana" w:eastAsia="Times New Roman" w:hAnsi="Verdana" w:cs="Times New Roman"/>
                <w:b/>
                <w:bCs/>
                <w:sz w:val="20"/>
                <w:szCs w:val="20"/>
                <w:lang w:eastAsia="fr-FR"/>
              </w:rPr>
              <w:t xml:space="preserve">Conserver et transmettre le code génétique. Contrôler les processus </w:t>
            </w:r>
            <w:r w:rsidR="00D40380" w:rsidRPr="00DD750D">
              <w:rPr>
                <w:rFonts w:ascii="Verdana" w:eastAsia="Times New Roman" w:hAnsi="Verdana" w:cs="Times New Roman"/>
                <w:b/>
                <w:bCs/>
                <w:sz w:val="20"/>
                <w:szCs w:val="20"/>
                <w:lang w:eastAsia="fr-FR"/>
              </w:rPr>
              <w:t>cellulaires</w:t>
            </w:r>
            <w:bookmarkStart w:id="1" w:name="_GoBack"/>
            <w:bookmarkEnd w:id="1"/>
            <w:r w:rsidRPr="00DD750D">
              <w:rPr>
                <w:rFonts w:ascii="Verdana" w:eastAsia="Times New Roman" w:hAnsi="Verdana" w:cs="Times New Roman"/>
                <w:b/>
                <w:bCs/>
                <w:sz w:val="20"/>
                <w:szCs w:val="20"/>
                <w:lang w:eastAsia="fr-FR"/>
              </w:rPr>
              <w:t>.</w:t>
            </w:r>
          </w:p>
        </w:tc>
      </w:tr>
      <w:tr w:rsidR="00DD750D" w:rsidRPr="00DD750D" w:rsidTr="00DD750D">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Nucléoles</w:t>
            </w:r>
          </w:p>
        </w:tc>
        <w:tc>
          <w:tcPr>
            <w:tcW w:w="6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lang w:eastAsia="fr-FR"/>
              </w:rPr>
              <w:t> </w:t>
            </w:r>
          </w:p>
        </w:tc>
        <w:tc>
          <w:tcPr>
            <w:tcW w:w="3000" w:type="pct"/>
            <w:tcBorders>
              <w:top w:val="outset" w:sz="6" w:space="0" w:color="000000"/>
              <w:left w:val="outset" w:sz="6" w:space="0" w:color="000000"/>
              <w:bottom w:val="outset" w:sz="6" w:space="0" w:color="000000"/>
              <w:right w:val="outset" w:sz="6" w:space="0" w:color="000000"/>
            </w:tcBorders>
            <w:shd w:val="clear" w:color="auto" w:fill="6B7921"/>
            <w:vAlign w:val="center"/>
            <w:hideMark/>
          </w:tcPr>
          <w:p w:rsidR="00DD750D" w:rsidRPr="00DD750D" w:rsidRDefault="00DD750D" w:rsidP="00DD750D">
            <w:pPr>
              <w:spacing w:before="100" w:beforeAutospacing="1" w:after="100" w:afterAutospacing="1" w:line="240" w:lineRule="auto"/>
              <w:rPr>
                <w:rFonts w:ascii="Verdana" w:eastAsia="Times New Roman" w:hAnsi="Verdana" w:cs="Times New Roman"/>
                <w:lang w:eastAsia="fr-FR"/>
              </w:rPr>
            </w:pPr>
            <w:r w:rsidRPr="00DD750D">
              <w:rPr>
                <w:rFonts w:ascii="Verdana" w:eastAsia="Times New Roman" w:hAnsi="Verdana" w:cs="Times New Roman"/>
                <w:sz w:val="20"/>
                <w:szCs w:val="20"/>
                <w:lang w:eastAsia="fr-FR"/>
              </w:rPr>
              <w:t>Organites sphériques composés principalement d'ARN. Fournir les matériaux nécessaires à la</w:t>
            </w:r>
            <w:r w:rsidR="00D40380">
              <w:rPr>
                <w:rFonts w:ascii="Verdana" w:eastAsia="Times New Roman" w:hAnsi="Verdana" w:cs="Times New Roman"/>
                <w:sz w:val="20"/>
                <w:szCs w:val="20"/>
                <w:lang w:eastAsia="fr-FR"/>
              </w:rPr>
              <w:t xml:space="preserve"> </w:t>
            </w:r>
            <w:r w:rsidRPr="00DD750D">
              <w:rPr>
                <w:rFonts w:ascii="Verdana" w:eastAsia="Times New Roman" w:hAnsi="Verdana" w:cs="Times New Roman"/>
                <w:b/>
                <w:bCs/>
                <w:sz w:val="20"/>
                <w:szCs w:val="20"/>
                <w:lang w:eastAsia="fr-FR"/>
              </w:rPr>
              <w:t>fabrication de l'ARNm</w:t>
            </w:r>
            <w:r w:rsidRPr="00DD750D">
              <w:rPr>
                <w:rFonts w:ascii="Verdana" w:eastAsia="Times New Roman" w:hAnsi="Verdana" w:cs="Times New Roman"/>
                <w:sz w:val="20"/>
                <w:lang w:eastAsia="fr-FR"/>
              </w:rPr>
              <w:t> </w:t>
            </w:r>
            <w:r w:rsidRPr="00DD750D">
              <w:rPr>
                <w:rFonts w:ascii="Verdana" w:eastAsia="Times New Roman" w:hAnsi="Verdana" w:cs="Times New Roman"/>
                <w:sz w:val="20"/>
                <w:szCs w:val="20"/>
                <w:lang w:eastAsia="fr-FR"/>
              </w:rPr>
              <w:t>utilisé par les ribosomes dans la synthèse des protéines.</w:t>
            </w:r>
          </w:p>
        </w:tc>
      </w:tr>
    </w:tbl>
    <w:p w:rsidR="00D5226C" w:rsidRDefault="00D40380"/>
    <w:sectPr w:rsidR="00D5226C" w:rsidSect="00396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D750D"/>
    <w:rsid w:val="00396A26"/>
    <w:rsid w:val="00953480"/>
    <w:rsid w:val="00D40380"/>
    <w:rsid w:val="00DD750D"/>
    <w:rsid w:val="00F233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26"/>
  </w:style>
  <w:style w:type="paragraph" w:styleId="Titre1">
    <w:name w:val="heading 1"/>
    <w:basedOn w:val="Normal"/>
    <w:link w:val="Titre1Car"/>
    <w:uiPriority w:val="9"/>
    <w:qFormat/>
    <w:rsid w:val="00DD75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750D"/>
    <w:rPr>
      <w:rFonts w:ascii="Times New Roman" w:eastAsia="Times New Roman" w:hAnsi="Times New Roman" w:cs="Times New Roman"/>
      <w:b/>
      <w:bCs/>
      <w:kern w:val="36"/>
      <w:sz w:val="48"/>
      <w:szCs w:val="48"/>
      <w:lang w:eastAsia="fr-FR"/>
    </w:rPr>
  </w:style>
  <w:style w:type="paragraph" w:customStyle="1" w:styleId="titre">
    <w:name w:val="titre"/>
    <w:basedOn w:val="Normal"/>
    <w:rsid w:val="00DD75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D75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D750D"/>
  </w:style>
  <w:style w:type="character" w:styleId="Lienhypertexte">
    <w:name w:val="Hyperlink"/>
    <w:basedOn w:val="Policepardfaut"/>
    <w:uiPriority w:val="99"/>
    <w:semiHidden/>
    <w:unhideWhenUsed/>
    <w:rsid w:val="00DD750D"/>
    <w:rPr>
      <w:color w:val="0000FF"/>
      <w:u w:val="single"/>
    </w:rPr>
  </w:style>
  <w:style w:type="paragraph" w:styleId="Textedebulles">
    <w:name w:val="Balloon Text"/>
    <w:basedOn w:val="Normal"/>
    <w:link w:val="TextedebullesCar"/>
    <w:uiPriority w:val="99"/>
    <w:semiHidden/>
    <w:unhideWhenUsed/>
    <w:rsid w:val="00DD7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7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uqam.ca/nobel/m315324/image/membrane_plasmique.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r.uqam.ca/nobel/m315324/lacellule.htm#enhaut" TargetMode="External"/><Relationship Id="rId11" Type="http://schemas.openxmlformats.org/officeDocument/2006/relationships/image" Target="media/image3.jpeg"/><Relationship Id="rId5" Type="http://schemas.openxmlformats.org/officeDocument/2006/relationships/hyperlink" Target="http://www.er.uqam.ca/nobel/m315324/lien.htm" TargetMode="External"/><Relationship Id="rId10" Type="http://schemas.openxmlformats.org/officeDocument/2006/relationships/hyperlink" Target="http://www.er.uqam.ca/nobel/m315324/image/noyay1.jpg"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2</cp:revision>
  <dcterms:created xsi:type="dcterms:W3CDTF">2012-06-22T16:22:00Z</dcterms:created>
  <dcterms:modified xsi:type="dcterms:W3CDTF">2012-10-01T13:26:00Z</dcterms:modified>
</cp:coreProperties>
</file>